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1A3" w:rsidRDefault="006B2900">
      <w:pPr>
        <w:spacing w:beforeLines="100" w:before="312" w:afterLines="100" w:after="312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:rsidR="009371A3" w:rsidRDefault="006B2900">
      <w:pPr>
        <w:spacing w:beforeLines="100" w:before="312" w:afterLines="100" w:after="312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 活 动 申 报 书</w:t>
      </w: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6B2900">
      <w:pPr>
        <w:ind w:firstLineChars="500" w:firstLine="1600"/>
        <w:rPr>
          <w:rFonts w:ascii="仿宋_GB2312" w:eastAsia="仿宋_GB2312" w:hAnsi="宋体"/>
          <w:szCs w:val="32"/>
        </w:rPr>
      </w:pPr>
      <w:proofErr w:type="gramStart"/>
      <w:r>
        <w:rPr>
          <w:rFonts w:ascii="仿宋_GB2312" w:eastAsia="仿宋_GB2312" w:hAnsi="宋体" w:hint="eastAsia"/>
          <w:szCs w:val="32"/>
        </w:rPr>
        <w:t>子活动</w:t>
      </w:r>
      <w:proofErr w:type="gramEnd"/>
      <w:r>
        <w:rPr>
          <w:rFonts w:ascii="仿宋_GB2312" w:eastAsia="仿宋_GB2312" w:hAnsi="宋体" w:hint="eastAsia"/>
          <w:szCs w:val="32"/>
        </w:rPr>
        <w:t>名称：</w:t>
      </w:r>
    </w:p>
    <w:p w:rsidR="009371A3" w:rsidRDefault="006B2900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9371A3" w:rsidRDefault="006B2900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项目单位：</w:t>
      </w:r>
    </w:p>
    <w:p w:rsidR="009371A3" w:rsidRDefault="006B2900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主管部门：</w:t>
      </w:r>
      <w:r w:rsidR="006D6AA4">
        <w:rPr>
          <w:rFonts w:ascii="仿宋_GB2312" w:eastAsia="仿宋_GB2312" w:hAnsi="宋体" w:hint="eastAsia"/>
          <w:szCs w:val="32"/>
        </w:rPr>
        <w:t>教育部</w:t>
      </w:r>
    </w:p>
    <w:p w:rsidR="009371A3" w:rsidRDefault="006B2900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 xml:space="preserve">申报日期：  年  月  日   </w:t>
      </w: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rPr>
          <w:rFonts w:ascii="仿宋_GB2312" w:eastAsia="仿宋_GB2312" w:hAnsi="宋体"/>
          <w:szCs w:val="32"/>
        </w:rPr>
      </w:pPr>
    </w:p>
    <w:p w:rsidR="009371A3" w:rsidRDefault="009371A3">
      <w:pPr>
        <w:jc w:val="center"/>
        <w:rPr>
          <w:rFonts w:ascii="仿宋_GB2312" w:eastAsia="仿宋_GB2312" w:hAnsi="宋体"/>
          <w:szCs w:val="32"/>
        </w:rPr>
      </w:pPr>
    </w:p>
    <w:p w:rsidR="009371A3" w:rsidRDefault="006B2900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 活 动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854"/>
        <w:gridCol w:w="2112"/>
        <w:gridCol w:w="2701"/>
      </w:tblGrid>
      <w:tr w:rsidR="009371A3">
        <w:trPr>
          <w:trHeight w:val="452"/>
        </w:trPr>
        <w:tc>
          <w:tcPr>
            <w:tcW w:w="1855" w:type="dxa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9371A3" w:rsidRDefault="009371A3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9371A3">
        <w:trPr>
          <w:trHeight w:val="463"/>
        </w:trPr>
        <w:tc>
          <w:tcPr>
            <w:tcW w:w="1855" w:type="dxa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代码</w:t>
            </w:r>
          </w:p>
        </w:tc>
        <w:tc>
          <w:tcPr>
            <w:tcW w:w="6667" w:type="dxa"/>
            <w:gridSpan w:val="3"/>
            <w:vAlign w:val="center"/>
          </w:tcPr>
          <w:p w:rsidR="009371A3" w:rsidRDefault="00744A29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财务处统一编写</w:t>
            </w:r>
          </w:p>
        </w:tc>
      </w:tr>
      <w:tr w:rsidR="009371A3">
        <w:trPr>
          <w:trHeight w:val="458"/>
        </w:trPr>
        <w:tc>
          <w:tcPr>
            <w:tcW w:w="1855" w:type="dxa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:rsidR="009371A3" w:rsidRDefault="00744A29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财务处统一编写</w:t>
            </w:r>
          </w:p>
        </w:tc>
      </w:tr>
      <w:tr w:rsidR="009371A3">
        <w:trPr>
          <w:trHeight w:val="463"/>
        </w:trPr>
        <w:tc>
          <w:tcPr>
            <w:tcW w:w="1855" w:type="dxa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9371A3" w:rsidRDefault="009371A3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9371A3">
        <w:trPr>
          <w:trHeight w:val="455"/>
        </w:trPr>
        <w:tc>
          <w:tcPr>
            <w:tcW w:w="1855" w:type="dxa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9371A3" w:rsidRDefault="009371A3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9371A3" w:rsidRDefault="009371A3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9371A3">
        <w:trPr>
          <w:trHeight w:val="539"/>
        </w:trPr>
        <w:tc>
          <w:tcPr>
            <w:tcW w:w="1855" w:type="dxa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:rsidR="006D6AA4" w:rsidRDefault="006D6AA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□房屋修缮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□设备资料购置</w:t>
            </w:r>
          </w:p>
          <w:p w:rsidR="006D6AA4" w:rsidRDefault="006D6AA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□基础设施改造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□建设项目配套工程</w:t>
            </w:r>
          </w:p>
        </w:tc>
      </w:tr>
      <w:tr w:rsidR="009371A3">
        <w:trPr>
          <w:trHeight w:val="775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9371A3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（对</w:t>
            </w:r>
            <w:r>
              <w:rPr>
                <w:rFonts w:ascii="宋体" w:eastAsia="宋体" w:hAnsi="宋体"/>
                <w:sz w:val="21"/>
                <w:szCs w:val="21"/>
              </w:rPr>
              <w:t>子活动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>
              <w:rPr>
                <w:rFonts w:ascii="宋体" w:eastAsia="宋体" w:hAnsi="宋体"/>
                <w:sz w:val="21"/>
                <w:szCs w:val="21"/>
              </w:rPr>
              <w:t>总体描述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9371A3" w:rsidRDefault="009371A3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9371A3" w:rsidRDefault="009371A3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71A3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（说明1.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实施的立项依据；2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动的主要工作思路与设想；3.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动预算的合理性及可靠性分析）</w:t>
            </w:r>
          </w:p>
        </w:tc>
      </w:tr>
      <w:tr w:rsidR="009371A3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 w:rsidR="009371A3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 w:rsidR="009371A3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9371A3" w:rsidRDefault="006B290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 w:rsidR="009371A3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9371A3" w:rsidRDefault="006B29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9371A3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9371A3" w:rsidRDefault="006B29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9371A3" w:rsidRDefault="006B2900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9371A3" w:rsidRDefault="006B2900">
      <w:pPr>
        <w:spacing w:beforeLines="50" w:before="156" w:afterLines="50" w:after="156"/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9371A3" w:rsidRDefault="006B2900">
      <w:pPr>
        <w:spacing w:before="100" w:beforeAutospacing="1" w:afterLines="50" w:after="156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3627"/>
        <w:gridCol w:w="1262"/>
        <w:gridCol w:w="314"/>
        <w:gridCol w:w="2131"/>
      </w:tblGrid>
      <w:tr w:rsidR="006D6AA4" w:rsidTr="006D6AA4">
        <w:trPr>
          <w:trHeight w:val="561"/>
        </w:trPr>
        <w:tc>
          <w:tcPr>
            <w:tcW w:w="648" w:type="dxa"/>
            <w:vMerge w:val="restart"/>
            <w:vAlign w:val="center"/>
          </w:tcPr>
          <w:p w:rsidR="006D6AA4" w:rsidRDefault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  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6D6AA4" w:rsidRDefault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支出内容</w:t>
            </w:r>
          </w:p>
        </w:tc>
        <w:tc>
          <w:tcPr>
            <w:tcW w:w="5203" w:type="dxa"/>
            <w:gridSpan w:val="3"/>
            <w:vAlign w:val="center"/>
          </w:tcPr>
          <w:p w:rsidR="006D6AA4" w:rsidRDefault="006D6AA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支出内容</w:t>
            </w:r>
          </w:p>
        </w:tc>
        <w:tc>
          <w:tcPr>
            <w:tcW w:w="2131" w:type="dxa"/>
            <w:vAlign w:val="center"/>
          </w:tcPr>
          <w:p w:rsidR="006D6AA4" w:rsidRDefault="006D6AA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  <w:vAlign w:val="center"/>
          </w:tcPr>
          <w:p w:rsidR="006D6AA4" w:rsidRDefault="006D6AA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6D6AA4" w:rsidRDefault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gridSpan w:val="3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……</w:t>
            </w:r>
          </w:p>
        </w:tc>
        <w:tc>
          <w:tcPr>
            <w:tcW w:w="2131" w:type="dxa"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D6AA4" w:rsidTr="006D6AA4">
        <w:trPr>
          <w:trHeight w:val="612"/>
        </w:trPr>
        <w:tc>
          <w:tcPr>
            <w:tcW w:w="648" w:type="dxa"/>
            <w:vMerge/>
          </w:tcPr>
          <w:p w:rsidR="006D6AA4" w:rsidRDefault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D6AA4" w:rsidRDefault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支出经济分类</w:t>
            </w:r>
          </w:p>
        </w:tc>
        <w:tc>
          <w:tcPr>
            <w:tcW w:w="3627" w:type="dxa"/>
            <w:vAlign w:val="center"/>
          </w:tcPr>
          <w:p w:rsidR="006D6AA4" w:rsidRPr="006D6AA4" w:rsidRDefault="006D6AA4" w:rsidP="006D6AA4">
            <w:pPr>
              <w:tabs>
                <w:tab w:val="left" w:pos="1791"/>
              </w:tabs>
              <w:jc w:val="center"/>
              <w:rPr>
                <w:rFonts w:ascii="宋体" w:eastAsia="宋体" w:hAnsi="宋体"/>
                <w:b/>
                <w:sz w:val="28"/>
                <w:szCs w:val="21"/>
              </w:rPr>
            </w:pPr>
            <w:r w:rsidRPr="006D6AA4">
              <w:rPr>
                <w:rFonts w:ascii="宋体" w:eastAsia="宋体" w:hAnsi="宋体" w:hint="eastAsia"/>
                <w:b/>
                <w:sz w:val="28"/>
                <w:szCs w:val="21"/>
              </w:rPr>
              <w:t>支出经济分类</w:t>
            </w:r>
          </w:p>
        </w:tc>
        <w:tc>
          <w:tcPr>
            <w:tcW w:w="1262" w:type="dxa"/>
            <w:vAlign w:val="center"/>
          </w:tcPr>
          <w:p w:rsidR="006D6AA4" w:rsidRPr="006D6AA4" w:rsidRDefault="006D6AA4" w:rsidP="006D6AA4">
            <w:pPr>
              <w:tabs>
                <w:tab w:val="left" w:pos="1791"/>
              </w:tabs>
              <w:jc w:val="center"/>
              <w:rPr>
                <w:rFonts w:ascii="宋体" w:eastAsia="宋体" w:hAnsi="宋体"/>
                <w:b/>
                <w:sz w:val="28"/>
                <w:szCs w:val="21"/>
              </w:rPr>
            </w:pPr>
            <w:r w:rsidRPr="006D6AA4">
              <w:rPr>
                <w:rFonts w:ascii="宋体" w:eastAsia="宋体" w:hAnsi="宋体" w:hint="eastAsia"/>
                <w:b/>
                <w:sz w:val="28"/>
                <w:szCs w:val="21"/>
              </w:rPr>
              <w:t>金额</w:t>
            </w:r>
          </w:p>
        </w:tc>
        <w:tc>
          <w:tcPr>
            <w:tcW w:w="2445" w:type="dxa"/>
            <w:gridSpan w:val="2"/>
            <w:vAlign w:val="center"/>
          </w:tcPr>
          <w:p w:rsidR="006D6AA4" w:rsidRPr="006D6AA4" w:rsidRDefault="006D6AA4" w:rsidP="006D6AA4">
            <w:pPr>
              <w:tabs>
                <w:tab w:val="left" w:pos="1791"/>
              </w:tabs>
              <w:jc w:val="center"/>
              <w:rPr>
                <w:rFonts w:ascii="宋体" w:eastAsia="宋体" w:hAnsi="宋体"/>
                <w:b/>
                <w:sz w:val="28"/>
                <w:szCs w:val="21"/>
              </w:rPr>
            </w:pPr>
            <w:r w:rsidRPr="006D6AA4">
              <w:rPr>
                <w:rFonts w:ascii="宋体" w:eastAsia="宋体" w:hAnsi="宋体" w:hint="eastAsia"/>
                <w:b/>
                <w:sz w:val="28"/>
                <w:szCs w:val="21"/>
              </w:rPr>
              <w:t>备注</w:t>
            </w:r>
          </w:p>
        </w:tc>
      </w:tr>
      <w:tr w:rsidR="006D6AA4" w:rsidTr="006D6AA4">
        <w:trPr>
          <w:trHeight w:val="612"/>
        </w:trPr>
        <w:tc>
          <w:tcPr>
            <w:tcW w:w="648" w:type="dxa"/>
            <w:vMerge/>
          </w:tcPr>
          <w:p w:rsidR="006D6AA4" w:rsidRDefault="006D6AA4" w:rsidP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6D6AA4" w:rsidRDefault="006D6AA4" w:rsidP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A4" w:rsidRPr="006B2900" w:rsidRDefault="006D6AA4" w:rsidP="006D6AA4">
            <w:pPr>
              <w:widowControl/>
              <w:jc w:val="left"/>
              <w:rPr>
                <w:rFonts w:eastAsia="宋体"/>
                <w:kern w:val="0"/>
                <w:sz w:val="28"/>
                <w:szCs w:val="24"/>
              </w:rPr>
            </w:pPr>
            <w:r w:rsidRPr="006B2900">
              <w:rPr>
                <w:rFonts w:hint="eastAsia"/>
                <w:sz w:val="28"/>
              </w:rPr>
              <w:t>31099-</w:t>
            </w:r>
            <w:r w:rsidRPr="006B2900">
              <w:rPr>
                <w:rFonts w:hint="eastAsia"/>
                <w:sz w:val="28"/>
              </w:rPr>
              <w:t>其他资本性支出</w:t>
            </w:r>
          </w:p>
        </w:tc>
        <w:tc>
          <w:tcPr>
            <w:tcW w:w="1262" w:type="dxa"/>
          </w:tcPr>
          <w:p w:rsidR="006D6AA4" w:rsidRDefault="006D6AA4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6D6AA4" w:rsidRDefault="006D6AA4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仅限购置</w:t>
            </w:r>
            <w:r w:rsidR="007B5956">
              <w:rPr>
                <w:rFonts w:ascii="宋体" w:eastAsia="宋体" w:hAnsi="宋体" w:hint="eastAsia"/>
                <w:sz w:val="21"/>
                <w:szCs w:val="21"/>
              </w:rPr>
              <w:t>纸质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图书</w:t>
            </w:r>
          </w:p>
        </w:tc>
      </w:tr>
      <w:tr w:rsidR="006D6AA4" w:rsidTr="006D6AA4">
        <w:trPr>
          <w:trHeight w:val="612"/>
        </w:trPr>
        <w:tc>
          <w:tcPr>
            <w:tcW w:w="648" w:type="dxa"/>
            <w:vMerge/>
          </w:tcPr>
          <w:p w:rsidR="006D6AA4" w:rsidRDefault="006D6AA4" w:rsidP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6D6AA4" w:rsidRDefault="006D6AA4" w:rsidP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A4" w:rsidRPr="006B2900" w:rsidRDefault="006D6AA4" w:rsidP="006D6AA4">
            <w:pPr>
              <w:rPr>
                <w:sz w:val="28"/>
              </w:rPr>
            </w:pPr>
            <w:r w:rsidRPr="006B2900">
              <w:rPr>
                <w:rFonts w:hint="eastAsia"/>
                <w:sz w:val="28"/>
              </w:rPr>
              <w:t>30299-</w:t>
            </w:r>
            <w:r w:rsidRPr="006B2900">
              <w:rPr>
                <w:rFonts w:hint="eastAsia"/>
                <w:sz w:val="28"/>
              </w:rPr>
              <w:t>其他商品和服务支出</w:t>
            </w:r>
          </w:p>
        </w:tc>
        <w:tc>
          <w:tcPr>
            <w:tcW w:w="1262" w:type="dxa"/>
          </w:tcPr>
          <w:p w:rsidR="006D6AA4" w:rsidRDefault="006D6AA4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6D6AA4" w:rsidRDefault="006B2900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数据库服务费等</w:t>
            </w:r>
          </w:p>
        </w:tc>
      </w:tr>
      <w:tr w:rsidR="006D6AA4" w:rsidTr="006D6AA4">
        <w:trPr>
          <w:trHeight w:val="612"/>
        </w:trPr>
        <w:tc>
          <w:tcPr>
            <w:tcW w:w="648" w:type="dxa"/>
            <w:vMerge/>
          </w:tcPr>
          <w:p w:rsidR="006D6AA4" w:rsidRDefault="006D6AA4" w:rsidP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6D6AA4" w:rsidRDefault="006D6AA4" w:rsidP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A4" w:rsidRPr="006B2900" w:rsidRDefault="006D6AA4" w:rsidP="006D6AA4">
            <w:pPr>
              <w:rPr>
                <w:sz w:val="28"/>
              </w:rPr>
            </w:pPr>
            <w:r w:rsidRPr="006B2900">
              <w:rPr>
                <w:rFonts w:hint="eastAsia"/>
                <w:sz w:val="28"/>
              </w:rPr>
              <w:t>31003-</w:t>
            </w:r>
            <w:r w:rsidRPr="006B2900">
              <w:rPr>
                <w:rFonts w:hint="eastAsia"/>
                <w:sz w:val="28"/>
              </w:rPr>
              <w:t>专用设备购置</w:t>
            </w:r>
          </w:p>
        </w:tc>
        <w:tc>
          <w:tcPr>
            <w:tcW w:w="1262" w:type="dxa"/>
          </w:tcPr>
          <w:p w:rsidR="006D6AA4" w:rsidRDefault="006D6AA4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6D6AA4" w:rsidRDefault="006B2900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设备资料购置类项目，</w:t>
            </w:r>
            <w:r w:rsidR="006D6AA4">
              <w:rPr>
                <w:rFonts w:ascii="宋体" w:eastAsia="宋体" w:hAnsi="宋体" w:hint="eastAsia"/>
                <w:sz w:val="21"/>
                <w:szCs w:val="21"/>
              </w:rPr>
              <w:t>购置设备、家具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的支出</w:t>
            </w:r>
          </w:p>
        </w:tc>
      </w:tr>
      <w:tr w:rsidR="006D6AA4" w:rsidRPr="006B2900" w:rsidTr="006D6AA4">
        <w:trPr>
          <w:trHeight w:val="612"/>
        </w:trPr>
        <w:tc>
          <w:tcPr>
            <w:tcW w:w="648" w:type="dxa"/>
            <w:vMerge/>
          </w:tcPr>
          <w:p w:rsidR="006D6AA4" w:rsidRDefault="006D6AA4" w:rsidP="006D6AA4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6D6AA4" w:rsidRDefault="006D6AA4" w:rsidP="006D6AA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A4" w:rsidRPr="006B2900" w:rsidRDefault="006D6AA4" w:rsidP="006D6AA4">
            <w:pPr>
              <w:rPr>
                <w:sz w:val="28"/>
              </w:rPr>
            </w:pPr>
            <w:r w:rsidRPr="006B2900">
              <w:rPr>
                <w:rFonts w:hint="eastAsia"/>
                <w:sz w:val="28"/>
              </w:rPr>
              <w:t>3</w:t>
            </w:r>
            <w:r w:rsidRPr="006B2900">
              <w:rPr>
                <w:sz w:val="28"/>
              </w:rPr>
              <w:t>1006-</w:t>
            </w:r>
            <w:r w:rsidRPr="006B2900">
              <w:rPr>
                <w:rFonts w:hint="eastAsia"/>
                <w:sz w:val="28"/>
              </w:rPr>
              <w:t>大型修缮</w:t>
            </w:r>
          </w:p>
        </w:tc>
        <w:tc>
          <w:tcPr>
            <w:tcW w:w="1262" w:type="dxa"/>
          </w:tcPr>
          <w:p w:rsidR="006D6AA4" w:rsidRDefault="006D6AA4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6D6AA4" w:rsidRDefault="006B2900" w:rsidP="006D6AA4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房屋修缮、基础设施改造、建设项目配套工程三类项目</w:t>
            </w:r>
            <w:r w:rsidR="00744A29">
              <w:rPr>
                <w:rFonts w:ascii="宋体" w:eastAsia="宋体" w:hAnsi="宋体" w:hint="eastAsia"/>
                <w:sz w:val="21"/>
                <w:szCs w:val="21"/>
              </w:rPr>
              <w:t>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购置少量设备、家具的支出</w:t>
            </w:r>
          </w:p>
        </w:tc>
      </w:tr>
      <w:tr w:rsidR="006B2900" w:rsidTr="006D6AA4">
        <w:trPr>
          <w:trHeight w:val="612"/>
        </w:trPr>
        <w:tc>
          <w:tcPr>
            <w:tcW w:w="648" w:type="dxa"/>
            <w:vMerge/>
          </w:tcPr>
          <w:p w:rsidR="006B2900" w:rsidRDefault="006B2900" w:rsidP="006B2900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6B2900" w:rsidRDefault="006B2900" w:rsidP="006B2900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00" w:rsidRPr="006B2900" w:rsidRDefault="006B2900" w:rsidP="006B2900">
            <w:pPr>
              <w:rPr>
                <w:sz w:val="28"/>
              </w:rPr>
            </w:pPr>
            <w:r w:rsidRPr="006B2900">
              <w:rPr>
                <w:rFonts w:hint="eastAsia"/>
                <w:sz w:val="28"/>
              </w:rPr>
              <w:t>30213-</w:t>
            </w:r>
            <w:r w:rsidRPr="006B2900">
              <w:rPr>
                <w:rFonts w:hint="eastAsia"/>
                <w:sz w:val="28"/>
              </w:rPr>
              <w:t>维修（护）费</w:t>
            </w:r>
          </w:p>
        </w:tc>
        <w:tc>
          <w:tcPr>
            <w:tcW w:w="1262" w:type="dxa"/>
          </w:tcPr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房屋修缮、基础设施改造、建设项目配套工程</w:t>
            </w:r>
            <w:r w:rsidR="00744A29">
              <w:rPr>
                <w:rFonts w:ascii="宋体" w:eastAsia="宋体" w:hAnsi="宋体" w:hint="eastAsia"/>
                <w:sz w:val="21"/>
                <w:szCs w:val="21"/>
              </w:rPr>
              <w:t>三类项目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中，维修、改造支出</w:t>
            </w:r>
          </w:p>
        </w:tc>
      </w:tr>
      <w:tr w:rsidR="006B2900" w:rsidTr="009441F1">
        <w:trPr>
          <w:trHeight w:val="3100"/>
        </w:trPr>
        <w:tc>
          <w:tcPr>
            <w:tcW w:w="648" w:type="dxa"/>
            <w:vMerge/>
          </w:tcPr>
          <w:p w:rsidR="006B2900" w:rsidRDefault="006B2900" w:rsidP="006B2900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B2900" w:rsidRDefault="006B2900" w:rsidP="006B2900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4"/>
          </w:tcPr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6B2900" w:rsidRDefault="006B2900" w:rsidP="006B2900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371A3" w:rsidRDefault="009371A3"/>
    <w:sectPr w:rsidR="0093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C73" w:rsidRDefault="008F0C73" w:rsidP="00744A29">
      <w:r>
        <w:separator/>
      </w:r>
    </w:p>
  </w:endnote>
  <w:endnote w:type="continuationSeparator" w:id="0">
    <w:p w:rsidR="008F0C73" w:rsidRDefault="008F0C73" w:rsidP="0074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C73" w:rsidRDefault="008F0C73" w:rsidP="00744A29">
      <w:r>
        <w:separator/>
      </w:r>
    </w:p>
  </w:footnote>
  <w:footnote w:type="continuationSeparator" w:id="0">
    <w:p w:rsidR="008F0C73" w:rsidRDefault="008F0C73" w:rsidP="0074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3NjM5MWQ4YjY1ZWM3YjY0ODg0OTY4NDZiMTIyNDQifQ=="/>
  </w:docVars>
  <w:rsids>
    <w:rsidRoot w:val="00194902"/>
    <w:rsid w:val="000162F1"/>
    <w:rsid w:val="00096169"/>
    <w:rsid w:val="00096F4A"/>
    <w:rsid w:val="00127A59"/>
    <w:rsid w:val="001811A0"/>
    <w:rsid w:val="00194902"/>
    <w:rsid w:val="001A4BC3"/>
    <w:rsid w:val="001D2A93"/>
    <w:rsid w:val="00290B0E"/>
    <w:rsid w:val="002B6661"/>
    <w:rsid w:val="003405D0"/>
    <w:rsid w:val="004E3BAE"/>
    <w:rsid w:val="00516FD5"/>
    <w:rsid w:val="0069744B"/>
    <w:rsid w:val="006B2900"/>
    <w:rsid w:val="006D6AA4"/>
    <w:rsid w:val="007032E2"/>
    <w:rsid w:val="00744A29"/>
    <w:rsid w:val="0076676B"/>
    <w:rsid w:val="007B5956"/>
    <w:rsid w:val="0089118F"/>
    <w:rsid w:val="008A41AE"/>
    <w:rsid w:val="008F0C73"/>
    <w:rsid w:val="009152A5"/>
    <w:rsid w:val="009371A3"/>
    <w:rsid w:val="009F5CC0"/>
    <w:rsid w:val="00A32767"/>
    <w:rsid w:val="00AE2DC9"/>
    <w:rsid w:val="00BD6B80"/>
    <w:rsid w:val="00C32C89"/>
    <w:rsid w:val="00DA6A11"/>
    <w:rsid w:val="00DC1E2A"/>
    <w:rsid w:val="00DD391F"/>
    <w:rsid w:val="00DF507D"/>
    <w:rsid w:val="00E6394B"/>
    <w:rsid w:val="00E81A97"/>
    <w:rsid w:val="00E853FE"/>
    <w:rsid w:val="00F239B0"/>
    <w:rsid w:val="00FD6628"/>
    <w:rsid w:val="28467F3B"/>
    <w:rsid w:val="2FB15DEF"/>
    <w:rsid w:val="5DED54B5"/>
    <w:rsid w:val="62D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8A85F"/>
  <w15:docId w15:val="{2D2E64B2-F7C7-4A2A-B056-7BC91100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仿宋" w:hAnsi="Times New Roman" w:cs="Times New Roman"/>
      <w:sz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" w:hAnsi="Times New Roman" w:cs="Times New Roman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dell</cp:lastModifiedBy>
  <cp:revision>9</cp:revision>
  <cp:lastPrinted>2021-06-18T01:29:00Z</cp:lastPrinted>
  <dcterms:created xsi:type="dcterms:W3CDTF">2022-06-09T10:39:00Z</dcterms:created>
  <dcterms:modified xsi:type="dcterms:W3CDTF">2026-05-06T09:17:00Z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A2C5E8CA63F743B2B4D6629F8FA2257C</vt:lpwstr>
  </property>
</Properties>
</file>